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54F2" w14:textId="0BCB6BD2" w:rsidR="00846A73" w:rsidRDefault="00000000">
      <w:pPr>
        <w:pStyle w:val="1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>中国地质大学（北京）</w:t>
      </w:r>
      <w:r w:rsidR="00B17853">
        <w:rPr>
          <w:rFonts w:ascii="仿宋" w:eastAsia="仿宋" w:hAnsi="仿宋" w:hint="eastAsia"/>
          <w:color w:val="333333"/>
          <w:sz w:val="36"/>
          <w:szCs w:val="36"/>
        </w:rPr>
        <w:t>材料科学与工程学院</w:t>
      </w:r>
    </w:p>
    <w:p w14:paraId="5622C1F9" w14:textId="77777777" w:rsidR="00846A73" w:rsidRDefault="00000000">
      <w:pPr>
        <w:pStyle w:val="1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>2023年硕士研究生接收调剂公告</w:t>
      </w:r>
    </w:p>
    <w:p w14:paraId="0E784341" w14:textId="77777777" w:rsidR="00846A73" w:rsidRDefault="00846A73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</w:p>
    <w:p w14:paraId="36B8C744" w14:textId="05F2A0D2" w:rsidR="00846A73" w:rsidRDefault="00000000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根据教育部和北京市教育考试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院相关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文件要求，结合我院2023年硕士研究生招生计划和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志愿上线情况，现公布2023年硕士研究生拟调剂信息，具体信息以我校各专业在“全国硕士研究生招生调剂服务系统”发布的调剂信息为准，欢迎有意向调剂我院的考生密切关注我校研究生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招生网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和</w:t>
      </w:r>
      <w:r w:rsidR="00A444F0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材料科学与工程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学院网站。</w:t>
      </w:r>
    </w:p>
    <w:p w14:paraId="69C14D73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一、拟接收调剂专业、指标和分数线</w:t>
      </w:r>
    </w:p>
    <w:tbl>
      <w:tblPr>
        <w:tblW w:w="9600" w:type="dxa"/>
        <w:tblInd w:w="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050"/>
        <w:gridCol w:w="1005"/>
        <w:gridCol w:w="1080"/>
        <w:gridCol w:w="1335"/>
        <w:gridCol w:w="1575"/>
        <w:gridCol w:w="1395"/>
        <w:gridCol w:w="945"/>
      </w:tblGrid>
      <w:tr w:rsidR="00846A73" w14:paraId="0E1AE2DC" w14:textId="77777777">
        <w:trPr>
          <w:trHeight w:val="450"/>
        </w:trPr>
        <w:tc>
          <w:tcPr>
            <w:tcW w:w="12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1523" w14:textId="77777777" w:rsidR="00846A73" w:rsidRDefault="00000000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0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A9D2" w14:textId="77777777" w:rsidR="00846A73" w:rsidRDefault="00000000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100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A96B" w14:textId="77777777" w:rsidR="00846A73" w:rsidRDefault="00000000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接收调剂专业</w:t>
            </w:r>
          </w:p>
        </w:tc>
        <w:tc>
          <w:tcPr>
            <w:tcW w:w="10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B3653" w14:textId="77777777" w:rsidR="00846A73" w:rsidRDefault="00000000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接收调剂方向</w:t>
            </w:r>
          </w:p>
        </w:tc>
        <w:tc>
          <w:tcPr>
            <w:tcW w:w="13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00CB" w14:textId="77777777" w:rsidR="00846A73" w:rsidRDefault="00000000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拟接收调剂指标</w:t>
            </w:r>
          </w:p>
        </w:tc>
        <w:tc>
          <w:tcPr>
            <w:tcW w:w="391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4249" w14:textId="77777777" w:rsidR="00846A73" w:rsidRDefault="00000000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调剂分数线</w:t>
            </w:r>
          </w:p>
        </w:tc>
      </w:tr>
      <w:tr w:rsidR="00846A73" w14:paraId="3826660B" w14:textId="77777777">
        <w:trPr>
          <w:trHeight w:val="643"/>
        </w:trPr>
        <w:tc>
          <w:tcPr>
            <w:tcW w:w="121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BA75" w14:textId="77777777" w:rsidR="00846A73" w:rsidRDefault="00846A73">
            <w:pPr>
              <w:widowControl/>
              <w:spacing w:line="360" w:lineRule="atLeast"/>
            </w:pPr>
          </w:p>
        </w:tc>
        <w:tc>
          <w:tcPr>
            <w:tcW w:w="10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FE9C" w14:textId="77777777" w:rsidR="00846A73" w:rsidRDefault="00846A73">
            <w:pPr>
              <w:widowControl/>
              <w:spacing w:line="360" w:lineRule="atLeast"/>
            </w:pPr>
          </w:p>
        </w:tc>
        <w:tc>
          <w:tcPr>
            <w:tcW w:w="100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73EC" w14:textId="77777777" w:rsidR="00846A73" w:rsidRDefault="00846A73">
            <w:pPr>
              <w:widowControl/>
              <w:spacing w:line="360" w:lineRule="atLeast"/>
            </w:pPr>
          </w:p>
        </w:tc>
        <w:tc>
          <w:tcPr>
            <w:tcW w:w="108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08FD" w14:textId="77777777" w:rsidR="00846A73" w:rsidRDefault="00846A73">
            <w:pPr>
              <w:widowControl/>
              <w:spacing w:line="360" w:lineRule="atLeast"/>
            </w:pPr>
          </w:p>
        </w:tc>
        <w:tc>
          <w:tcPr>
            <w:tcW w:w="133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AD40" w14:textId="77777777" w:rsidR="00846A73" w:rsidRDefault="00846A73">
            <w:pPr>
              <w:widowControl/>
              <w:spacing w:line="360" w:lineRule="atLeast"/>
            </w:pPr>
          </w:p>
        </w:tc>
        <w:tc>
          <w:tcPr>
            <w:tcW w:w="1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33D6" w14:textId="77777777" w:rsidR="00846A73" w:rsidRDefault="00000000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单科（满分=100分）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6C70" w14:textId="77777777" w:rsidR="00846A73" w:rsidRDefault="00000000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单科（满分&gt;100分）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E5DF" w14:textId="77777777" w:rsidR="00846A73" w:rsidRDefault="00000000">
            <w:pPr>
              <w:widowControl/>
              <w:spacing w:line="360" w:lineRule="atLeas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总分</w:t>
            </w:r>
          </w:p>
        </w:tc>
      </w:tr>
      <w:tr w:rsidR="00846A73" w14:paraId="5E93C7CF" w14:textId="77777777">
        <w:tc>
          <w:tcPr>
            <w:tcW w:w="1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7928" w14:textId="48F01322" w:rsidR="00846A73" w:rsidRDefault="00000000">
            <w:pPr>
              <w:widowControl/>
              <w:wordWrap w:val="0"/>
              <w:spacing w:line="360" w:lineRule="atLeas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C01C" w14:textId="3D1AD5D2" w:rsidR="00846A73" w:rsidRDefault="00000000">
            <w:pPr>
              <w:widowControl/>
              <w:wordWrap w:val="0"/>
              <w:spacing w:line="360" w:lineRule="atLeas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专业型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BE14" w14:textId="4070A444" w:rsidR="00846A73" w:rsidRDefault="00D35337">
            <w:pPr>
              <w:widowControl/>
              <w:wordWrap w:val="0"/>
              <w:spacing w:line="360" w:lineRule="atLeas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材料与化工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B8D2" w14:textId="3C5AA86F" w:rsidR="00846A73" w:rsidRPr="00D35337" w:rsidRDefault="00D35337">
            <w:pPr>
              <w:widowControl/>
              <w:wordWrap w:val="0"/>
              <w:spacing w:line="360" w:lineRule="atLeas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D3533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0290" w14:textId="6089B85C" w:rsidR="00846A73" w:rsidRPr="00D35337" w:rsidRDefault="00D35337">
            <w:pPr>
              <w:widowControl/>
              <w:wordWrap w:val="0"/>
              <w:spacing w:line="36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3533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约3</w:t>
            </w:r>
            <w:r w:rsidRPr="00D3533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49F1" w14:textId="3419BFF1" w:rsidR="00846A73" w:rsidRDefault="006E1FF0">
            <w:pPr>
              <w:widowControl/>
              <w:wordWrap w:val="0"/>
              <w:spacing w:line="360" w:lineRule="atLeas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9783" w14:textId="4743A06D" w:rsidR="00846A73" w:rsidRDefault="006E1FF0">
            <w:pPr>
              <w:widowControl/>
              <w:wordWrap w:val="0"/>
              <w:spacing w:line="360" w:lineRule="atLeas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6B2E" w14:textId="02903A03" w:rsidR="00846A73" w:rsidRDefault="006E1FF0">
            <w:pPr>
              <w:widowControl/>
              <w:wordWrap w:val="0"/>
              <w:spacing w:line="360" w:lineRule="atLeas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78</w:t>
            </w:r>
          </w:p>
        </w:tc>
      </w:tr>
    </w:tbl>
    <w:p w14:paraId="66653307" w14:textId="77777777" w:rsidR="00846A73" w:rsidRDefault="00846A73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536383C9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二、调剂的条件和要求</w:t>
      </w:r>
    </w:p>
    <w:p w14:paraId="2BC3939B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1.符合国家2023年A类地区研究生复试基本要求和国家调剂政策；</w:t>
      </w:r>
    </w:p>
    <w:p w14:paraId="09027622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2.初试成绩符合我院进入复试的分数要求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14:paraId="3E7A9B24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3.调入专业与第一志愿报考专业相同或相近，且在同一学科门类范围内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14:paraId="009E950A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4.初试科目与调入专业初试科目相同或相近，其中初试全国统一命题科目应与调入专业全国统一命题科目相同（考生初试统考科目涵盖调入专业所有统考科目的，视为相同）。在全国统一命题科目中，英语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可调入英语二专业，数学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可调入数学二专业，反之则不可；</w:t>
      </w:r>
    </w:p>
    <w:p w14:paraId="468EC500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三、调剂申请程序</w:t>
      </w:r>
    </w:p>
    <w:p w14:paraId="6E2867EA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1.报名方式</w:t>
      </w:r>
    </w:p>
    <w:p w14:paraId="1F2770D3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调剂报名必须通过“全国硕士研究生招生调剂服务系统”（网址http://yz.chsi.com.cn/yztj/）进行。</w:t>
      </w:r>
    </w:p>
    <w:p w14:paraId="47200905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2.报名时间</w:t>
      </w:r>
    </w:p>
    <w:p w14:paraId="3306F1C3" w14:textId="66894066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正式调剂开始时间为：</w:t>
      </w:r>
      <w:r w:rsidR="006E1FF0"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6E1FF0">
        <w:rPr>
          <w:rFonts w:ascii="仿宋" w:eastAsia="仿宋" w:hAnsi="仿宋" w:cs="宋体"/>
          <w:color w:val="333333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="006E1FF0">
        <w:rPr>
          <w:rFonts w:ascii="仿宋" w:eastAsia="仿宋" w:hAnsi="仿宋" w:cs="宋体"/>
          <w:color w:val="333333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：00</w:t>
      </w:r>
    </w:p>
    <w:p w14:paraId="2C75A3BA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（系统开放时间不低于12个小时）</w:t>
      </w:r>
    </w:p>
    <w:p w14:paraId="3816E0E6" w14:textId="77777777" w:rsidR="00846A73" w:rsidRDefault="00000000">
      <w:pPr>
        <w:widowControl/>
        <w:shd w:val="clear" w:color="auto" w:fill="FFFFFF"/>
        <w:spacing w:line="360" w:lineRule="atLeas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四、复试</w:t>
      </w:r>
    </w:p>
    <w:p w14:paraId="60BEB896" w14:textId="288E638A" w:rsidR="00846A73" w:rsidRDefault="00000000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符合我院调剂要求的考生请在规定时间内登录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研招网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调剂系统填报调剂志愿，</w:t>
      </w:r>
      <w:r w:rsidR="00B17853" w:rsidRPr="00F60B47">
        <w:rPr>
          <w:rFonts w:ascii="仿宋" w:eastAsia="仿宋" w:hAnsi="仿宋" w:cs="宋体"/>
          <w:color w:val="333333"/>
          <w:kern w:val="0"/>
          <w:sz w:val="28"/>
          <w:szCs w:val="28"/>
        </w:rPr>
        <w:t>根据招生名额和报名</w:t>
      </w:r>
      <w:r w:rsidR="00B17853" w:rsidRPr="00F60B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调剂的</w:t>
      </w:r>
      <w:r w:rsidR="00B17853" w:rsidRPr="00F60B47">
        <w:rPr>
          <w:rFonts w:ascii="仿宋" w:eastAsia="仿宋" w:hAnsi="仿宋" w:cs="宋体"/>
          <w:color w:val="333333"/>
          <w:kern w:val="0"/>
          <w:sz w:val="28"/>
          <w:szCs w:val="28"/>
        </w:rPr>
        <w:t>情况</w:t>
      </w:r>
      <w:r w:rsidR="00B17853" w:rsidRPr="00F60B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B17853" w:rsidRPr="00F60B47">
        <w:rPr>
          <w:rFonts w:ascii="仿宋" w:eastAsia="仿宋" w:hAnsi="仿宋" w:cs="宋体"/>
          <w:color w:val="333333"/>
          <w:kern w:val="0"/>
          <w:sz w:val="28"/>
          <w:szCs w:val="28"/>
        </w:rPr>
        <w:t>按照</w:t>
      </w:r>
      <w:r w:rsidR="00B17853" w:rsidRPr="00F60B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考生报考专业、</w:t>
      </w:r>
      <w:r w:rsidR="00B17853" w:rsidRPr="00F60B47">
        <w:rPr>
          <w:rFonts w:ascii="仿宋" w:eastAsia="仿宋" w:hAnsi="仿宋" w:cs="宋体"/>
          <w:color w:val="333333"/>
          <w:kern w:val="0"/>
          <w:sz w:val="28"/>
          <w:szCs w:val="28"/>
        </w:rPr>
        <w:t>考试科目、本科所学专业相同相近</w:t>
      </w:r>
      <w:r w:rsidR="00B17853" w:rsidRPr="00F60B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的基本原则，初试</w:t>
      </w:r>
      <w:r w:rsidR="00B17853" w:rsidRPr="00F60B47">
        <w:rPr>
          <w:rFonts w:ascii="仿宋" w:eastAsia="仿宋" w:hAnsi="仿宋" w:cs="宋体"/>
          <w:color w:val="333333"/>
          <w:kern w:val="0"/>
          <w:sz w:val="28"/>
          <w:szCs w:val="28"/>
        </w:rPr>
        <w:t>成绩由高到低</w:t>
      </w:r>
      <w:r w:rsidR="00B17853" w:rsidRPr="00F60B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，由学院招生领导小组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初审确定名单后，将通过调剂系统向考生发送复试通知，考生在系统中确认同意复试后按要求参加我院复试方可。复试名单在学院网上公示。</w:t>
      </w:r>
    </w:p>
    <w:p w14:paraId="253839A7" w14:textId="79088F82" w:rsidR="006E1FF0" w:rsidRPr="000C673B" w:rsidRDefault="00000000" w:rsidP="003438A7">
      <w:pPr>
        <w:pStyle w:val="aa"/>
        <w:widowControl/>
        <w:numPr>
          <w:ilvl w:val="0"/>
          <w:numId w:val="1"/>
        </w:numPr>
        <w:shd w:val="clear" w:color="auto" w:fill="FFFFFF"/>
        <w:spacing w:line="360" w:lineRule="atLeast"/>
        <w:ind w:left="426" w:firstLineChars="0" w:hanging="426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0C673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复试时间：</w:t>
      </w:r>
    </w:p>
    <w:p w14:paraId="55987FF3" w14:textId="08606A8C" w:rsidR="00377FBA" w:rsidRPr="00377FBA" w:rsidRDefault="006E1FF0" w:rsidP="003438A7">
      <w:pPr>
        <w:pStyle w:val="aa"/>
        <w:widowControl/>
        <w:shd w:val="clear" w:color="auto" w:fill="FFFFFF"/>
        <w:spacing w:line="360" w:lineRule="atLeast"/>
        <w:ind w:leftChars="202" w:left="424" w:firstLineChars="0" w:firstLine="1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报到：4月8日</w:t>
      </w:r>
      <w:r w:rsidR="00B163CB" w:rsidRPr="000C673B">
        <w:rPr>
          <w:rFonts w:ascii="仿宋" w:eastAsia="仿宋" w:hAnsi="仿宋" w:cs="宋体"/>
          <w:color w:val="333333"/>
          <w:kern w:val="0"/>
          <w:sz w:val="28"/>
          <w:szCs w:val="28"/>
        </w:rPr>
        <w:t>14</w:t>
      </w: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:</w:t>
      </w:r>
      <w:r w:rsidRPr="000C673B">
        <w:rPr>
          <w:rFonts w:ascii="仿宋" w:eastAsia="仿宋" w:hAnsi="仿宋" w:cs="宋体"/>
          <w:color w:val="333333"/>
          <w:kern w:val="0"/>
          <w:sz w:val="28"/>
          <w:szCs w:val="28"/>
        </w:rPr>
        <w:t>00-</w:t>
      </w:r>
      <w:r w:rsidR="00B163CB" w:rsidRPr="000C673B">
        <w:rPr>
          <w:rFonts w:ascii="仿宋" w:eastAsia="仿宋" w:hAnsi="仿宋" w:cs="宋体"/>
          <w:color w:val="333333"/>
          <w:kern w:val="0"/>
          <w:sz w:val="28"/>
          <w:szCs w:val="28"/>
        </w:rPr>
        <w:t>16</w:t>
      </w: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:</w:t>
      </w:r>
      <w:r w:rsidRPr="000C673B">
        <w:rPr>
          <w:rFonts w:ascii="仿宋" w:eastAsia="仿宋" w:hAnsi="仿宋" w:cs="宋体"/>
          <w:color w:val="333333"/>
          <w:kern w:val="0"/>
          <w:sz w:val="28"/>
          <w:szCs w:val="28"/>
        </w:rPr>
        <w:t>00</w:t>
      </w: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测试楼3</w:t>
      </w:r>
      <w:r w:rsidRPr="000C673B">
        <w:rPr>
          <w:rFonts w:ascii="仿宋" w:eastAsia="仿宋" w:hAnsi="仿宋" w:cs="宋体"/>
          <w:color w:val="333333"/>
          <w:kern w:val="0"/>
          <w:sz w:val="28"/>
          <w:szCs w:val="28"/>
        </w:rPr>
        <w:t>14</w:t>
      </w:r>
    </w:p>
    <w:p w14:paraId="635AAE09" w14:textId="4586B496" w:rsidR="00846A73" w:rsidRPr="000C673B" w:rsidRDefault="006E1FF0" w:rsidP="003438A7">
      <w:pPr>
        <w:pStyle w:val="aa"/>
        <w:widowControl/>
        <w:shd w:val="clear" w:color="auto" w:fill="FFFFFF"/>
        <w:spacing w:line="360" w:lineRule="atLeast"/>
        <w:ind w:leftChars="202" w:left="424" w:firstLineChars="0" w:firstLine="1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面试：</w:t>
      </w:r>
      <w:r w:rsidRPr="000C673B"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Pr="000C673B">
        <w:rPr>
          <w:rFonts w:ascii="仿宋" w:eastAsia="仿宋" w:hAnsi="仿宋" w:cs="宋体"/>
          <w:color w:val="333333"/>
          <w:kern w:val="0"/>
          <w:sz w:val="28"/>
          <w:szCs w:val="28"/>
        </w:rPr>
        <w:t>9</w:t>
      </w: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Pr="000C673B">
        <w:rPr>
          <w:rFonts w:ascii="仿宋" w:eastAsia="仿宋" w:hAnsi="仿宋" w:cs="宋体"/>
          <w:color w:val="333333"/>
          <w:kern w:val="0"/>
          <w:sz w:val="28"/>
          <w:szCs w:val="28"/>
        </w:rPr>
        <w:t>8</w:t>
      </w: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:</w:t>
      </w:r>
      <w:r w:rsidRPr="000C673B">
        <w:rPr>
          <w:rFonts w:ascii="仿宋" w:eastAsia="仿宋" w:hAnsi="仿宋" w:cs="宋体"/>
          <w:color w:val="333333"/>
          <w:kern w:val="0"/>
          <w:sz w:val="28"/>
          <w:szCs w:val="28"/>
        </w:rPr>
        <w:t>30</w:t>
      </w: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开始。</w:t>
      </w:r>
    </w:p>
    <w:p w14:paraId="3598B989" w14:textId="768E1544" w:rsidR="00846A73" w:rsidRPr="003438A7" w:rsidRDefault="00000000" w:rsidP="003438A7">
      <w:pPr>
        <w:pStyle w:val="aa"/>
        <w:widowControl/>
        <w:numPr>
          <w:ilvl w:val="0"/>
          <w:numId w:val="1"/>
        </w:numPr>
        <w:shd w:val="clear" w:color="auto" w:fill="FFFFFF"/>
        <w:spacing w:line="360" w:lineRule="atLeast"/>
        <w:ind w:left="426" w:firstLineChars="0" w:hanging="426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3438A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复试程序</w:t>
      </w:r>
    </w:p>
    <w:p w14:paraId="3F1298A2" w14:textId="77777777" w:rsidR="00846A73" w:rsidRPr="000C673B" w:rsidRDefault="00000000" w:rsidP="003438A7">
      <w:pPr>
        <w:pStyle w:val="aa"/>
        <w:widowControl/>
        <w:shd w:val="clear" w:color="auto" w:fill="FFFFFF"/>
        <w:spacing w:line="360" w:lineRule="atLeast"/>
        <w:ind w:left="426" w:firstLineChars="0" w:firstLine="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3438A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缴纳复试费（100元/生）→提交复试材料→学院资格审查→签订《诚信复试承诺书》→进入复试各环节。</w:t>
      </w:r>
    </w:p>
    <w:p w14:paraId="47764CDA" w14:textId="77777777" w:rsidR="00846A73" w:rsidRPr="000C673B" w:rsidRDefault="00000000" w:rsidP="007F1C87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C673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3.复试缴费及材料提交</w:t>
      </w:r>
    </w:p>
    <w:p w14:paraId="206F2469" w14:textId="1EC9932A" w:rsidR="00846A73" w:rsidRPr="000C673B" w:rsidRDefault="00000000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bookmarkStart w:id="0" w:name="_Hlk131166448"/>
      <w:r w:rsidRPr="000C673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（一）</w:t>
      </w:r>
      <w:r w:rsidR="000F7A0E" w:rsidRPr="000C673B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4</w:t>
      </w:r>
      <w:r w:rsidRPr="000C673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0F7A0E" w:rsidRPr="000C673B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8</w:t>
      </w:r>
      <w:r w:rsidRPr="000C673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  <w:r w:rsidR="002E79BC" w:rsidRPr="000C673B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10</w:t>
      </w:r>
      <w:r w:rsidRPr="000C673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：00</w:t>
      </w:r>
      <w:r w:rsidRPr="000C673B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前在“智慧研招”系统</w:t>
      </w:r>
      <w:r w:rsidRPr="000C673B"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 w:rsidRPr="000C673B">
        <w:rPr>
          <w:rFonts w:ascii="仿宋" w:eastAsia="仿宋" w:hAnsi="仿宋"/>
          <w:sz w:val="28"/>
          <w:szCs w:val="28"/>
        </w:rPr>
        <w:t>https://bdyzb.cugb.edu.cn/tp/zs/login/toLogin/ss</w:t>
      </w:r>
      <w:r w:rsidRPr="000C673B">
        <w:rPr>
          <w:rFonts w:ascii="仿宋" w:eastAsia="仿宋" w:hAnsi="仿宋" w:hint="eastAsia"/>
          <w:sz w:val="28"/>
          <w:szCs w:val="28"/>
        </w:rPr>
        <w:t>）</w:t>
      </w:r>
      <w:r w:rsidRPr="000C673B"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  <w:t>中完成复试缴费及材料提交。考生用户名为考生编号，初试密码为考生身份证号。逾期未完成者视为主动放弃复试资格。</w:t>
      </w:r>
      <w:bookmarkEnd w:id="0"/>
    </w:p>
    <w:p w14:paraId="0D90BF06" w14:textId="62BA74EE" w:rsidR="00846A73" w:rsidRPr="000C673B" w:rsidRDefault="00000000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0C67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（</w:t>
      </w:r>
      <w:r w:rsidR="002E79BC" w:rsidRPr="000C67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</w:t>
      </w:r>
      <w:r w:rsidRPr="000C67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Pr="000C6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须提交的具体复试材料</w:t>
      </w:r>
      <w:r w:rsidR="00F60B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见《材料科学与工程学院复试通知</w:t>
      </w:r>
      <w:r w:rsidR="00C06C1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-</w:t>
      </w:r>
      <w:r w:rsidR="00F60B4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调剂复试考生》</w:t>
      </w:r>
      <w:r w:rsidR="00377FB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14:paraId="04FD01E8" w14:textId="77777777" w:rsidR="00846A73" w:rsidRDefault="00000000">
      <w:pPr>
        <w:widowControl/>
        <w:shd w:val="clear" w:color="auto" w:fill="FFFFFF"/>
        <w:spacing w:line="360" w:lineRule="atLeast"/>
        <w:ind w:firstLineChars="200"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五、说明</w:t>
      </w:r>
    </w:p>
    <w:p w14:paraId="793EC1A6" w14:textId="62E77E4D" w:rsidR="00846A73" w:rsidRDefault="00000000">
      <w:pPr>
        <w:pStyle w:val="a7"/>
        <w:shd w:val="clear" w:color="auto" w:fill="FFFFFF"/>
        <w:wordWrap w:val="0"/>
        <w:spacing w:before="0" w:beforeAutospacing="0" w:after="0" w:afterAutospacing="0"/>
        <w:ind w:firstLine="45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1.“2023年全国硕士研究生招生网上调剂意向采集系统”于3月31日开通。符合调剂条件且有调剂意向的考生，可通过该系统查询我校调剂意向余额，做好调剂准备。</w:t>
      </w:r>
    </w:p>
    <w:p w14:paraId="7797E920" w14:textId="77777777" w:rsidR="00846A73" w:rsidRDefault="00000000">
      <w:pPr>
        <w:pStyle w:val="a7"/>
        <w:shd w:val="clear" w:color="auto" w:fill="FFFFFF"/>
        <w:wordWrap w:val="0"/>
        <w:spacing w:before="0" w:beforeAutospacing="0" w:after="0" w:afterAutospacing="0"/>
        <w:ind w:firstLine="45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FF0000"/>
          <w:sz w:val="28"/>
          <w:szCs w:val="28"/>
        </w:rPr>
        <w:t>特别提醒：“2023年全国硕士研究生招生调剂服务系统”将于4月6日开通。</w:t>
      </w:r>
      <w:r>
        <w:rPr>
          <w:rFonts w:ascii="仿宋" w:eastAsia="仿宋" w:hAnsi="仿宋" w:hint="eastAsia"/>
          <w:color w:val="333333"/>
          <w:sz w:val="28"/>
          <w:szCs w:val="28"/>
        </w:rPr>
        <w:t>请有意调剂到我院的考生，在调剂服务系统开通后，及时提交调剂申请。</w:t>
      </w:r>
    </w:p>
    <w:p w14:paraId="19D75927" w14:textId="77777777" w:rsidR="00846A73" w:rsidRDefault="00000000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收到复试通知的调剂考生须严格按照我院规定的时间、地点参加复试，逾期视为自动放弃复试资格。通过复试的考生收到我校“待录取”通知后，须在规定时间内予以确认，逾期将视为自动放弃。通过调剂系统确认已接收其他招生单位或其他专业“待录取”通知的考生，视为自动放弃该调剂专业的调剂复试资格和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拟录取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资格，我院将按照调剂复试录取成绩高低顺次拟录取下一位复试合格考生。</w:t>
      </w:r>
    </w:p>
    <w:p w14:paraId="618CD1BF" w14:textId="75E44024" w:rsidR="00846A73" w:rsidRDefault="00000000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3.其他信息请参见《</w:t>
      </w:r>
      <w:r w:rsidR="002E79B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材料科学与工程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学院2023年硕士研究生复试录取工作方案》。</w:t>
      </w:r>
    </w:p>
    <w:p w14:paraId="20E4EF1F" w14:textId="507DA9A0" w:rsidR="00846A73" w:rsidRPr="00377FBA" w:rsidRDefault="00000000">
      <w:pPr>
        <w:widowControl/>
        <w:shd w:val="clear" w:color="auto" w:fill="FFFFFF"/>
        <w:spacing w:line="360" w:lineRule="atLeas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请及时关注中国地质大学（北京）研究生院招生信息、</w:t>
      </w:r>
      <w:r w:rsidR="002E79BC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材料科学与工程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学院网站招生信息相关通知。</w:t>
      </w:r>
    </w:p>
    <w:p w14:paraId="09B62E24" w14:textId="73DD07F8" w:rsidR="00846A73" w:rsidRDefault="00000000" w:rsidP="002E79BC">
      <w:pPr>
        <w:widowControl/>
        <w:shd w:val="clear" w:color="auto" w:fill="FFFFFF"/>
        <w:spacing w:line="360" w:lineRule="atLeast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中国地质大学（北京）</w:t>
      </w:r>
      <w:r w:rsidR="002E79B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材料科学与工程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</w:t>
      </w:r>
    </w:p>
    <w:p w14:paraId="2D14BF32" w14:textId="17D8E017" w:rsidR="00846A73" w:rsidRDefault="00000000">
      <w:pPr>
        <w:widowControl/>
        <w:shd w:val="clear" w:color="auto" w:fill="FFFFFF"/>
        <w:spacing w:line="360" w:lineRule="atLeast"/>
        <w:ind w:firstLineChars="2000" w:firstLine="560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2023年</w:t>
      </w:r>
      <w:r w:rsidR="002E79BC"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2E79BC">
        <w:rPr>
          <w:rFonts w:ascii="仿宋" w:eastAsia="仿宋" w:hAnsi="仿宋" w:cs="宋体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14:paraId="0FF7A9C6" w14:textId="77777777" w:rsidR="00846A73" w:rsidRDefault="00846A73">
      <w:pPr>
        <w:rPr>
          <w:rFonts w:ascii="仿宋" w:eastAsia="仿宋" w:hAnsi="仿宋"/>
          <w:sz w:val="32"/>
          <w:szCs w:val="32"/>
        </w:rPr>
      </w:pPr>
    </w:p>
    <w:sectPr w:rsidR="00846A73" w:rsidSect="00377FBA">
      <w:pgSz w:w="11906" w:h="16838"/>
      <w:pgMar w:top="1276" w:right="1406" w:bottom="1134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146C" w14:textId="77777777" w:rsidR="004A39A1" w:rsidRDefault="004A39A1" w:rsidP="00C06C1B">
      <w:r>
        <w:separator/>
      </w:r>
    </w:p>
  </w:endnote>
  <w:endnote w:type="continuationSeparator" w:id="0">
    <w:p w14:paraId="129951C9" w14:textId="77777777" w:rsidR="004A39A1" w:rsidRDefault="004A39A1" w:rsidP="00C0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F1EB" w14:textId="77777777" w:rsidR="004A39A1" w:rsidRDefault="004A39A1" w:rsidP="00C06C1B">
      <w:r>
        <w:separator/>
      </w:r>
    </w:p>
  </w:footnote>
  <w:footnote w:type="continuationSeparator" w:id="0">
    <w:p w14:paraId="7F4595A4" w14:textId="77777777" w:rsidR="004A39A1" w:rsidRDefault="004A39A1" w:rsidP="00C0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553EF"/>
    <w:multiLevelType w:val="hybridMultilevel"/>
    <w:tmpl w:val="833295E0"/>
    <w:lvl w:ilvl="0" w:tplc="395AB7D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num w:numId="1" w16cid:durableId="105862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tDQwNjAxNjEyMbdU0lEKTi0uzszPAykwrgUAdbNZMCwAAAA="/>
    <w:docVar w:name="commondata" w:val="eyJoZGlkIjoiODQ5ZTMwZTYwMDE1MGVmZWQ5ZTE4YmI5ODcxMDE5ZGUifQ=="/>
  </w:docVars>
  <w:rsids>
    <w:rsidRoot w:val="00172A27"/>
    <w:rsid w:val="00034D4B"/>
    <w:rsid w:val="00051132"/>
    <w:rsid w:val="00065B52"/>
    <w:rsid w:val="0007258D"/>
    <w:rsid w:val="00084711"/>
    <w:rsid w:val="000C673B"/>
    <w:rsid w:val="000F7A0E"/>
    <w:rsid w:val="00101A8D"/>
    <w:rsid w:val="00153930"/>
    <w:rsid w:val="00172A27"/>
    <w:rsid w:val="00196704"/>
    <w:rsid w:val="001A36EB"/>
    <w:rsid w:val="001C3D90"/>
    <w:rsid w:val="001E2903"/>
    <w:rsid w:val="00217A04"/>
    <w:rsid w:val="00227741"/>
    <w:rsid w:val="00227B9A"/>
    <w:rsid w:val="00234FB5"/>
    <w:rsid w:val="002A7A7E"/>
    <w:rsid w:val="002C46B6"/>
    <w:rsid w:val="002C4D27"/>
    <w:rsid w:val="002E79BC"/>
    <w:rsid w:val="003178C3"/>
    <w:rsid w:val="003438A7"/>
    <w:rsid w:val="00364632"/>
    <w:rsid w:val="00377FBA"/>
    <w:rsid w:val="003803BA"/>
    <w:rsid w:val="0041702C"/>
    <w:rsid w:val="004233F6"/>
    <w:rsid w:val="004A39A1"/>
    <w:rsid w:val="004A7C8D"/>
    <w:rsid w:val="004D21DD"/>
    <w:rsid w:val="00511309"/>
    <w:rsid w:val="00517996"/>
    <w:rsid w:val="00536A5D"/>
    <w:rsid w:val="00563E94"/>
    <w:rsid w:val="005A25A9"/>
    <w:rsid w:val="005A4A10"/>
    <w:rsid w:val="005B06B5"/>
    <w:rsid w:val="00603A94"/>
    <w:rsid w:val="006377F9"/>
    <w:rsid w:val="0069308F"/>
    <w:rsid w:val="006B5C2D"/>
    <w:rsid w:val="006E1FF0"/>
    <w:rsid w:val="006E3CFC"/>
    <w:rsid w:val="006E3DE7"/>
    <w:rsid w:val="007038AC"/>
    <w:rsid w:val="00725DBB"/>
    <w:rsid w:val="00752F7A"/>
    <w:rsid w:val="00785277"/>
    <w:rsid w:val="007D1896"/>
    <w:rsid w:val="007D78C6"/>
    <w:rsid w:val="007E7184"/>
    <w:rsid w:val="007F1C87"/>
    <w:rsid w:val="00846A73"/>
    <w:rsid w:val="00882BD4"/>
    <w:rsid w:val="008930D9"/>
    <w:rsid w:val="00894EF3"/>
    <w:rsid w:val="00897B44"/>
    <w:rsid w:val="008B7065"/>
    <w:rsid w:val="009062ED"/>
    <w:rsid w:val="00934033"/>
    <w:rsid w:val="009514F5"/>
    <w:rsid w:val="00987BF2"/>
    <w:rsid w:val="00992A48"/>
    <w:rsid w:val="00A02A9D"/>
    <w:rsid w:val="00A40A24"/>
    <w:rsid w:val="00A444F0"/>
    <w:rsid w:val="00A556C0"/>
    <w:rsid w:val="00A62C26"/>
    <w:rsid w:val="00A82919"/>
    <w:rsid w:val="00AA0650"/>
    <w:rsid w:val="00AB0614"/>
    <w:rsid w:val="00AD073D"/>
    <w:rsid w:val="00AD0ED9"/>
    <w:rsid w:val="00AD5B08"/>
    <w:rsid w:val="00B03C5C"/>
    <w:rsid w:val="00B069AC"/>
    <w:rsid w:val="00B154D5"/>
    <w:rsid w:val="00B163CB"/>
    <w:rsid w:val="00B17853"/>
    <w:rsid w:val="00B46222"/>
    <w:rsid w:val="00B724D8"/>
    <w:rsid w:val="00BF0399"/>
    <w:rsid w:val="00C06C1B"/>
    <w:rsid w:val="00C204DC"/>
    <w:rsid w:val="00C27357"/>
    <w:rsid w:val="00C32A47"/>
    <w:rsid w:val="00C35143"/>
    <w:rsid w:val="00C566C9"/>
    <w:rsid w:val="00CA4D18"/>
    <w:rsid w:val="00CB01EE"/>
    <w:rsid w:val="00CF50A5"/>
    <w:rsid w:val="00D03FD0"/>
    <w:rsid w:val="00D13A3E"/>
    <w:rsid w:val="00D342B1"/>
    <w:rsid w:val="00D35337"/>
    <w:rsid w:val="00D44151"/>
    <w:rsid w:val="00DA5EE2"/>
    <w:rsid w:val="00DF026B"/>
    <w:rsid w:val="00E12FF7"/>
    <w:rsid w:val="00E3691D"/>
    <w:rsid w:val="00EB7C0E"/>
    <w:rsid w:val="00ED370A"/>
    <w:rsid w:val="00F40196"/>
    <w:rsid w:val="00F60B47"/>
    <w:rsid w:val="00FF5110"/>
    <w:rsid w:val="06112117"/>
    <w:rsid w:val="071935D9"/>
    <w:rsid w:val="0A36039E"/>
    <w:rsid w:val="0D7B27C5"/>
    <w:rsid w:val="0DD66C40"/>
    <w:rsid w:val="16C37EBD"/>
    <w:rsid w:val="25227A45"/>
    <w:rsid w:val="273B1202"/>
    <w:rsid w:val="2ACA2711"/>
    <w:rsid w:val="30C916BD"/>
    <w:rsid w:val="3298577B"/>
    <w:rsid w:val="376516ED"/>
    <w:rsid w:val="39E114C1"/>
    <w:rsid w:val="3D8B656B"/>
    <w:rsid w:val="405A5E8D"/>
    <w:rsid w:val="47A54027"/>
    <w:rsid w:val="498A2067"/>
    <w:rsid w:val="4A655B5A"/>
    <w:rsid w:val="4B992C19"/>
    <w:rsid w:val="50671F12"/>
    <w:rsid w:val="51486726"/>
    <w:rsid w:val="57C53B67"/>
    <w:rsid w:val="5C10379E"/>
    <w:rsid w:val="61F9485E"/>
    <w:rsid w:val="6D54588F"/>
    <w:rsid w:val="6F963925"/>
    <w:rsid w:val="717C314F"/>
    <w:rsid w:val="721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1FACF"/>
  <w15:docId w15:val="{6F2CA2A3-8148-4708-B560-3DFCEEE1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YU</dc:creator>
  <cp:lastModifiedBy>张 希</cp:lastModifiedBy>
  <cp:revision>9</cp:revision>
  <dcterms:created xsi:type="dcterms:W3CDTF">2023-03-30T08:45:00Z</dcterms:created>
  <dcterms:modified xsi:type="dcterms:W3CDTF">2023-04-01T01:39:00Z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E29914C1960A4D45BAF807630AF53317</vt:lpwstr>
  </property>
</Properties>
</file>